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6735" w14:textId="77777777" w:rsidR="004146B5" w:rsidRDefault="004146B5" w:rsidP="002714D6">
      <w:pPr>
        <w:pStyle w:val="Text"/>
        <w:spacing w:line="288" w:lineRule="auto"/>
        <w:rPr>
          <w:rFonts w:ascii="Century Gothic" w:hAnsi="Century Gothic"/>
          <w:b/>
          <w:bCs/>
          <w:sz w:val="20"/>
          <w:szCs w:val="20"/>
        </w:rPr>
      </w:pPr>
    </w:p>
    <w:p w14:paraId="01B75DA9" w14:textId="77777777" w:rsidR="004146B5" w:rsidRDefault="004146B5">
      <w:pPr>
        <w:pStyle w:val="Text"/>
        <w:spacing w:line="288" w:lineRule="auto"/>
        <w:rPr>
          <w:rFonts w:ascii="Century Gothic" w:hAnsi="Century Gothic"/>
          <w:b/>
          <w:bCs/>
          <w:sz w:val="20"/>
          <w:szCs w:val="20"/>
        </w:rPr>
      </w:pPr>
    </w:p>
    <w:p w14:paraId="026E1C41" w14:textId="60DD0065" w:rsidR="000F71CA" w:rsidRDefault="000F71CA" w:rsidP="000F71CA">
      <w:pPr>
        <w:pStyle w:val="Text"/>
        <w:spacing w:line="288" w:lineRule="auto"/>
        <w:jc w:val="center"/>
        <w:rPr>
          <w:rFonts w:ascii="Century Gothic" w:hAnsi="Century Gothic"/>
          <w:b/>
          <w:bCs/>
          <w:sz w:val="26"/>
          <w:szCs w:val="26"/>
        </w:rPr>
      </w:pPr>
      <w:r>
        <w:rPr>
          <w:rFonts w:ascii="Century Gothic" w:hAnsi="Century Gothic"/>
          <w:b/>
          <w:bCs/>
          <w:noProof/>
          <w:sz w:val="26"/>
          <w:szCs w:val="26"/>
          <w14:textOutline w14:w="0" w14:cap="rnd" w14:cmpd="sng" w14:algn="ctr">
            <w14:noFill/>
            <w14:prstDash w14:val="solid"/>
            <w14:bevel/>
          </w14:textOutline>
        </w:rPr>
        <w:drawing>
          <wp:inline distT="0" distB="0" distL="0" distR="0" wp14:anchorId="1965169C" wp14:editId="4DBF2D9B">
            <wp:extent cx="3898900" cy="2336800"/>
            <wp:effectExtent l="0" t="0" r="0" b="0"/>
            <wp:docPr id="1648736722" name="Grafik 1" descr="Ein Bild, das Person, Kleidung, Buch,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6722" name="Grafik 1" descr="Ein Bild, das Person, Kleidung, Buch, Mobilia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8900" cy="2336800"/>
                    </a:xfrm>
                    <a:prstGeom prst="rect">
                      <a:avLst/>
                    </a:prstGeom>
                  </pic:spPr>
                </pic:pic>
              </a:graphicData>
            </a:graphic>
          </wp:inline>
        </w:drawing>
      </w:r>
    </w:p>
    <w:p w14:paraId="5C00E557" w14:textId="77777777" w:rsidR="000F71CA" w:rsidRDefault="000F71CA">
      <w:pPr>
        <w:pStyle w:val="Text"/>
        <w:spacing w:line="288" w:lineRule="auto"/>
        <w:rPr>
          <w:rFonts w:ascii="Century Gothic" w:hAnsi="Century Gothic"/>
          <w:b/>
          <w:bCs/>
          <w:sz w:val="26"/>
          <w:szCs w:val="26"/>
        </w:rPr>
      </w:pPr>
    </w:p>
    <w:p w14:paraId="0AAEB8E5" w14:textId="77777777" w:rsidR="000F71CA" w:rsidRDefault="000F71CA">
      <w:pPr>
        <w:pStyle w:val="Text"/>
        <w:spacing w:line="288" w:lineRule="auto"/>
        <w:rPr>
          <w:rFonts w:ascii="Century Gothic" w:hAnsi="Century Gothic"/>
          <w:b/>
          <w:bCs/>
          <w:sz w:val="26"/>
          <w:szCs w:val="26"/>
        </w:rPr>
      </w:pPr>
    </w:p>
    <w:p w14:paraId="1D554F41" w14:textId="77777777" w:rsidR="000F71CA" w:rsidRDefault="000F71CA">
      <w:pPr>
        <w:pStyle w:val="Text"/>
        <w:spacing w:line="288" w:lineRule="auto"/>
        <w:rPr>
          <w:rFonts w:ascii="Century Gothic" w:hAnsi="Century Gothic"/>
          <w:b/>
          <w:bCs/>
          <w:sz w:val="26"/>
          <w:szCs w:val="26"/>
        </w:rPr>
      </w:pPr>
    </w:p>
    <w:p w14:paraId="7290C42E" w14:textId="6BF7D28D" w:rsidR="004146B5" w:rsidRDefault="00000000">
      <w:pPr>
        <w:pStyle w:val="Text"/>
        <w:spacing w:line="288" w:lineRule="auto"/>
        <w:rPr>
          <w:rFonts w:ascii="Century Gothic" w:eastAsia="Century Gothic" w:hAnsi="Century Gothic" w:cs="Century Gothic"/>
          <w:b/>
          <w:bCs/>
          <w:sz w:val="26"/>
          <w:szCs w:val="26"/>
        </w:rPr>
      </w:pPr>
      <w:r>
        <w:rPr>
          <w:rFonts w:ascii="Century Gothic" w:hAnsi="Century Gothic"/>
          <w:b/>
          <w:bCs/>
          <w:sz w:val="26"/>
          <w:szCs w:val="26"/>
        </w:rPr>
        <w:t>Was steckt hinter dem Hinweisgeberschutzgesetz?</w:t>
      </w:r>
    </w:p>
    <w:p w14:paraId="36C303DD" w14:textId="77777777" w:rsidR="004146B5" w:rsidRDefault="004146B5">
      <w:pPr>
        <w:pStyle w:val="Text"/>
        <w:spacing w:line="288" w:lineRule="auto"/>
        <w:rPr>
          <w:rFonts w:ascii="Century Gothic" w:eastAsia="Century Gothic" w:hAnsi="Century Gothic" w:cs="Century Gothic"/>
          <w:b/>
          <w:bCs/>
          <w:sz w:val="20"/>
          <w:szCs w:val="20"/>
        </w:rPr>
      </w:pPr>
    </w:p>
    <w:p w14:paraId="7277F618"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 xml:space="preserve">Das Hinweisgeberschutzgesetz ist eine verspätete Umsetzung der EU-Whistleblower-Richtlinie auf nationaler Ebene. Letztere trat 2019 in Kraft und sollte bereits 2021 in Deutschland umgesetzt werden. </w:t>
      </w:r>
      <w:r>
        <w:rPr>
          <w:rFonts w:ascii="Century Gothic" w:eastAsia="Century Gothic" w:hAnsi="Century Gothic" w:cs="Century Gothic"/>
          <w:sz w:val="20"/>
          <w:szCs w:val="20"/>
        </w:rPr>
        <w:br/>
      </w:r>
      <w:r>
        <w:rPr>
          <w:rFonts w:ascii="Century Gothic" w:eastAsia="Century Gothic" w:hAnsi="Century Gothic" w:cs="Century Gothic"/>
          <w:sz w:val="20"/>
          <w:szCs w:val="20"/>
        </w:rPr>
        <w:br/>
      </w:r>
      <w:r>
        <w:rPr>
          <w:rFonts w:ascii="Century Gothic" w:hAnsi="Century Gothic"/>
          <w:sz w:val="20"/>
          <w:szCs w:val="20"/>
        </w:rPr>
        <w:t>Das Hinweisgeberschutzgesetz soll</w:t>
      </w:r>
    </w:p>
    <w:p w14:paraId="7F28FB7D"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 xml:space="preserve">Mitarbeiter vor Entlassung, Mobbing, Disziplinarverfahren, Abmahnung oder anderweitiger Benachteiligung schützen, wenn sie Verstöße gegen Compliance, EU-Recht oder deutsches Recht oder verfassungsfeindliche </w:t>
      </w:r>
      <w:r>
        <w:rPr>
          <w:rFonts w:ascii="Century Gothic" w:hAnsi="Century Gothic"/>
          <w:sz w:val="20"/>
          <w:szCs w:val="20"/>
          <w:lang w:val="sv-SE"/>
        </w:rPr>
        <w:t>Ä</w:t>
      </w:r>
      <w:proofErr w:type="spellStart"/>
      <w:r>
        <w:rPr>
          <w:rFonts w:ascii="Century Gothic" w:hAnsi="Century Gothic"/>
          <w:sz w:val="20"/>
          <w:szCs w:val="20"/>
        </w:rPr>
        <w:t>ußerungen</w:t>
      </w:r>
      <w:proofErr w:type="spellEnd"/>
      <w:r>
        <w:rPr>
          <w:rFonts w:ascii="Century Gothic" w:hAnsi="Century Gothic"/>
          <w:sz w:val="20"/>
          <w:szCs w:val="20"/>
        </w:rPr>
        <w:t xml:space="preserve"> bei Beamten bemerken und diese melden und</w:t>
      </w:r>
    </w:p>
    <w:p w14:paraId="6244E584"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das Melden dieser Verstöße erleichtern.</w:t>
      </w:r>
    </w:p>
    <w:p w14:paraId="0825E394" w14:textId="77777777" w:rsidR="004146B5" w:rsidRDefault="004146B5">
      <w:pPr>
        <w:pStyle w:val="Text"/>
        <w:spacing w:line="288" w:lineRule="auto"/>
        <w:rPr>
          <w:rFonts w:ascii="Century Gothic" w:eastAsia="Century Gothic" w:hAnsi="Century Gothic" w:cs="Century Gothic"/>
          <w:b/>
          <w:bCs/>
          <w:sz w:val="20"/>
          <w:szCs w:val="20"/>
        </w:rPr>
      </w:pPr>
    </w:p>
    <w:p w14:paraId="30986A73" w14:textId="77777777" w:rsidR="004146B5" w:rsidRDefault="004146B5">
      <w:pPr>
        <w:pStyle w:val="Text"/>
        <w:spacing w:line="288" w:lineRule="auto"/>
        <w:rPr>
          <w:rFonts w:ascii="Century Gothic" w:eastAsia="Century Gothic" w:hAnsi="Century Gothic" w:cs="Century Gothic"/>
          <w:b/>
          <w:bCs/>
          <w:sz w:val="20"/>
          <w:szCs w:val="20"/>
        </w:rPr>
      </w:pPr>
    </w:p>
    <w:p w14:paraId="623894C4" w14:textId="77777777" w:rsidR="004146B5" w:rsidRDefault="00000000">
      <w:pPr>
        <w:pStyle w:val="Text"/>
        <w:spacing w:line="288" w:lineRule="auto"/>
        <w:rPr>
          <w:rFonts w:ascii="Century Gothic" w:eastAsia="Century Gothic" w:hAnsi="Century Gothic" w:cs="Century Gothic"/>
          <w:b/>
          <w:bCs/>
          <w:sz w:val="26"/>
          <w:szCs w:val="26"/>
        </w:rPr>
      </w:pPr>
      <w:r>
        <w:rPr>
          <w:rFonts w:ascii="Century Gothic" w:hAnsi="Century Gothic"/>
          <w:b/>
          <w:bCs/>
          <w:sz w:val="26"/>
          <w:szCs w:val="26"/>
        </w:rPr>
        <w:t xml:space="preserve">Welche </w:t>
      </w:r>
      <w:r>
        <w:rPr>
          <w:rFonts w:ascii="Century Gothic" w:hAnsi="Century Gothic"/>
          <w:b/>
          <w:bCs/>
          <w:sz w:val="26"/>
          <w:szCs w:val="26"/>
          <w:lang w:val="sv-SE"/>
        </w:rPr>
        <w:t>Ä</w:t>
      </w:r>
      <w:proofErr w:type="spellStart"/>
      <w:r>
        <w:rPr>
          <w:rFonts w:ascii="Century Gothic" w:hAnsi="Century Gothic"/>
          <w:b/>
          <w:bCs/>
          <w:sz w:val="26"/>
          <w:szCs w:val="26"/>
        </w:rPr>
        <w:t>nderungen</w:t>
      </w:r>
      <w:proofErr w:type="spellEnd"/>
      <w:r>
        <w:rPr>
          <w:rFonts w:ascii="Century Gothic" w:hAnsi="Century Gothic"/>
          <w:b/>
          <w:bCs/>
          <w:sz w:val="26"/>
          <w:szCs w:val="26"/>
        </w:rPr>
        <w:t xml:space="preserve"> gab es im Vermittlungsausschuss?</w:t>
      </w:r>
    </w:p>
    <w:p w14:paraId="2FB01EFC"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 xml:space="preserve">In der Beschlussempfehlung des Vermittlungsausschusses vom 9. Mai finden sich ein paar wesentliche </w:t>
      </w:r>
      <w:r>
        <w:rPr>
          <w:rFonts w:ascii="Century Gothic" w:hAnsi="Century Gothic"/>
          <w:sz w:val="20"/>
          <w:szCs w:val="20"/>
          <w:lang w:val="sv-SE"/>
        </w:rPr>
        <w:t>Ä</w:t>
      </w:r>
      <w:proofErr w:type="spellStart"/>
      <w:r>
        <w:rPr>
          <w:rFonts w:ascii="Century Gothic" w:hAnsi="Century Gothic"/>
          <w:sz w:val="20"/>
          <w:szCs w:val="20"/>
        </w:rPr>
        <w:t>nderungen</w:t>
      </w:r>
      <w:proofErr w:type="spellEnd"/>
      <w:r>
        <w:rPr>
          <w:rFonts w:ascii="Century Gothic" w:hAnsi="Century Gothic"/>
          <w:sz w:val="20"/>
          <w:szCs w:val="20"/>
        </w:rPr>
        <w:t xml:space="preserve"> am Gesetz wieder. </w:t>
      </w:r>
      <w:r>
        <w:rPr>
          <w:rFonts w:ascii="Century Gothic" w:eastAsia="Century Gothic" w:hAnsi="Century Gothic" w:cs="Century Gothic"/>
          <w:sz w:val="20"/>
          <w:szCs w:val="20"/>
        </w:rPr>
        <w:br/>
      </w:r>
    </w:p>
    <w:p w14:paraId="12A18616"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b/>
          <w:bCs/>
          <w:sz w:val="20"/>
          <w:szCs w:val="20"/>
        </w:rPr>
        <w:t>Anonymität</w:t>
      </w:r>
      <w:r>
        <w:rPr>
          <w:rFonts w:ascii="Century Gothic" w:eastAsia="Century Gothic" w:hAnsi="Century Gothic" w:cs="Century Gothic"/>
          <w:sz w:val="20"/>
          <w:szCs w:val="20"/>
        </w:rPr>
        <w:br/>
      </w:r>
      <w:r>
        <w:rPr>
          <w:rFonts w:ascii="Century Gothic" w:hAnsi="Century Gothic"/>
          <w:sz w:val="20"/>
          <w:szCs w:val="20"/>
        </w:rPr>
        <w:t xml:space="preserve">Es gibt keine Pflicht (mehr), die Abgabe anonymer Meldungen zu </w:t>
      </w:r>
      <w:proofErr w:type="spellStart"/>
      <w:r>
        <w:rPr>
          <w:rFonts w:ascii="Century Gothic" w:hAnsi="Century Gothic"/>
          <w:sz w:val="20"/>
          <w:szCs w:val="20"/>
        </w:rPr>
        <w:t>erm</w:t>
      </w:r>
      <w:proofErr w:type="spellEnd"/>
      <w:r>
        <w:rPr>
          <w:rFonts w:ascii="Century Gothic" w:hAnsi="Century Gothic"/>
          <w:sz w:val="20"/>
          <w:szCs w:val="20"/>
          <w:lang w:val="sv-SE"/>
        </w:rPr>
        <w:t>ö</w:t>
      </w:r>
      <w:r>
        <w:rPr>
          <w:rFonts w:ascii="Century Gothic" w:hAnsi="Century Gothic"/>
          <w:sz w:val="20"/>
          <w:szCs w:val="20"/>
        </w:rPr>
        <w:t>glichen. Jedoch sollen jedoch auch anonym eingehende Meldungen nachgehen.</w:t>
      </w:r>
      <w:r>
        <w:rPr>
          <w:rFonts w:ascii="Century Gothic" w:eastAsia="Century Gothic" w:hAnsi="Century Gothic" w:cs="Century Gothic"/>
          <w:sz w:val="20"/>
          <w:szCs w:val="20"/>
        </w:rPr>
        <w:br/>
      </w:r>
    </w:p>
    <w:p w14:paraId="59A1B9FB"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b/>
          <w:bCs/>
          <w:sz w:val="20"/>
          <w:szCs w:val="20"/>
        </w:rPr>
        <w:t>Interne/Externe Meldungen</w:t>
      </w:r>
      <w:r>
        <w:rPr>
          <w:rFonts w:ascii="Century Gothic" w:eastAsia="Century Gothic" w:hAnsi="Century Gothic" w:cs="Century Gothic"/>
          <w:sz w:val="20"/>
          <w:szCs w:val="20"/>
        </w:rPr>
        <w:br/>
      </w:r>
      <w:r>
        <w:rPr>
          <w:rFonts w:ascii="Century Gothic" w:hAnsi="Century Gothic"/>
          <w:sz w:val="20"/>
          <w:szCs w:val="20"/>
        </w:rPr>
        <w:t>Hinweisgeber sollen den internen Weg bevorzugen, falls auf diesem Wege wirksam gegen Verstöße vorgegangen werden kann.</w:t>
      </w:r>
      <w:r>
        <w:rPr>
          <w:rFonts w:ascii="Century Gothic" w:eastAsia="Century Gothic" w:hAnsi="Century Gothic" w:cs="Century Gothic"/>
          <w:sz w:val="20"/>
          <w:szCs w:val="20"/>
        </w:rPr>
        <w:br/>
      </w:r>
    </w:p>
    <w:p w14:paraId="2C68B0AB"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b/>
          <w:bCs/>
          <w:sz w:val="20"/>
          <w:szCs w:val="20"/>
        </w:rPr>
        <w:t>Beweislast</w:t>
      </w:r>
      <w:r>
        <w:rPr>
          <w:rFonts w:ascii="Century Gothic" w:eastAsia="Century Gothic" w:hAnsi="Century Gothic" w:cs="Century Gothic"/>
          <w:sz w:val="20"/>
          <w:szCs w:val="20"/>
        </w:rPr>
        <w:br/>
      </w:r>
      <w:r>
        <w:rPr>
          <w:rFonts w:ascii="Century Gothic" w:hAnsi="Century Gothic"/>
          <w:sz w:val="20"/>
          <w:szCs w:val="20"/>
        </w:rPr>
        <w:t xml:space="preserve">Das Gesetz sieht auch weiterhin eine Beweislastumkehr vor, wenn die hinweisgebende Person eine Benachteiligung im Zusammenhang mit ihrer beruflichen Tätigkeit erleidet. Hinweisgeber </w:t>
      </w:r>
      <w:r>
        <w:rPr>
          <w:rFonts w:ascii="Century Gothic" w:hAnsi="Century Gothic"/>
          <w:sz w:val="20"/>
          <w:szCs w:val="20"/>
        </w:rPr>
        <w:lastRenderedPageBreak/>
        <w:t>müssen sich in einem Gerichtsverfahren aber ausdrücklich darauf berufen. Der Schmerzensgeldanspruch für Hinweisgeber wurde gestrichen. </w:t>
      </w:r>
    </w:p>
    <w:p w14:paraId="474E6BD5" w14:textId="77777777" w:rsidR="004146B5" w:rsidRDefault="004146B5">
      <w:pPr>
        <w:pStyle w:val="Text"/>
        <w:spacing w:line="288" w:lineRule="auto"/>
        <w:rPr>
          <w:rFonts w:ascii="Century Gothic" w:eastAsia="Century Gothic" w:hAnsi="Century Gothic" w:cs="Century Gothic"/>
          <w:sz w:val="20"/>
          <w:szCs w:val="20"/>
        </w:rPr>
      </w:pPr>
    </w:p>
    <w:p w14:paraId="268BB0CF" w14:textId="77777777" w:rsidR="004146B5" w:rsidRDefault="00000000">
      <w:pPr>
        <w:pStyle w:val="Text"/>
        <w:numPr>
          <w:ilvl w:val="0"/>
          <w:numId w:val="2"/>
        </w:numPr>
        <w:spacing w:line="288" w:lineRule="auto"/>
        <w:rPr>
          <w:rFonts w:ascii="Century Gothic" w:hAnsi="Century Gothic"/>
          <w:b/>
          <w:bCs/>
          <w:sz w:val="20"/>
          <w:szCs w:val="20"/>
        </w:rPr>
      </w:pPr>
      <w:proofErr w:type="spellStart"/>
      <w:r>
        <w:rPr>
          <w:rFonts w:ascii="Century Gothic" w:hAnsi="Century Gothic"/>
          <w:b/>
          <w:bCs/>
          <w:sz w:val="20"/>
          <w:szCs w:val="20"/>
        </w:rPr>
        <w:t>Buß</w:t>
      </w:r>
      <w:r>
        <w:rPr>
          <w:rFonts w:ascii="Century Gothic" w:hAnsi="Century Gothic"/>
          <w:b/>
          <w:bCs/>
          <w:sz w:val="20"/>
          <w:szCs w:val="20"/>
          <w:lang w:val="nl-NL"/>
        </w:rPr>
        <w:t>gelder</w:t>
      </w:r>
      <w:proofErr w:type="spellEnd"/>
      <w:r>
        <w:rPr>
          <w:rFonts w:ascii="Century Gothic" w:eastAsia="Century Gothic" w:hAnsi="Century Gothic" w:cs="Century Gothic"/>
          <w:b/>
          <w:bCs/>
          <w:sz w:val="20"/>
          <w:szCs w:val="20"/>
        </w:rPr>
        <w:br/>
      </w:r>
      <w:r>
        <w:rPr>
          <w:rFonts w:ascii="Century Gothic" w:hAnsi="Century Gothic"/>
          <w:sz w:val="20"/>
          <w:szCs w:val="20"/>
        </w:rPr>
        <w:t>Die Bußgelder für Unternehmen, die sich nicht an die neuen Vorgaben halten, wurden von</w:t>
      </w:r>
      <w:r>
        <w:rPr>
          <w:rFonts w:ascii="Century Gothic" w:eastAsia="Century Gothic" w:hAnsi="Century Gothic" w:cs="Century Gothic"/>
          <w:b/>
          <w:bCs/>
          <w:sz w:val="20"/>
          <w:szCs w:val="20"/>
        </w:rPr>
        <w:br/>
      </w:r>
      <w:r>
        <w:rPr>
          <w:rFonts w:ascii="Century Gothic" w:hAnsi="Century Gothic"/>
          <w:sz w:val="20"/>
          <w:szCs w:val="20"/>
        </w:rPr>
        <w:t>100.000 Euro auf 50.000 Euro herabgesetzt.</w:t>
      </w:r>
    </w:p>
    <w:p w14:paraId="580AB44A" w14:textId="77777777" w:rsidR="004146B5" w:rsidRDefault="004146B5">
      <w:pPr>
        <w:pStyle w:val="Text"/>
        <w:spacing w:line="288" w:lineRule="auto"/>
        <w:rPr>
          <w:rFonts w:ascii="Century Gothic" w:eastAsia="Century Gothic" w:hAnsi="Century Gothic" w:cs="Century Gothic"/>
          <w:sz w:val="20"/>
          <w:szCs w:val="20"/>
        </w:rPr>
      </w:pPr>
    </w:p>
    <w:p w14:paraId="2DB3527A"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Hinweisgeber sollen im Grundsatz die Wahl zwischen externer und interner Meldung haben. Das bedeutet auch, dass Beschäftigungsgeber Anreize dafür schaffen sollten, dass sich hinweisgebende Personen zunächst an die jeweilige interne Meldestelle des Beschäftigungsgebers wenden, bevor sie eine Meldung bei einer externen Meldestelle des Bundes oder des Landes einreichen.</w:t>
      </w:r>
    </w:p>
    <w:p w14:paraId="536FD2C2" w14:textId="77777777" w:rsidR="004146B5" w:rsidRDefault="004146B5">
      <w:pPr>
        <w:pStyle w:val="Text"/>
        <w:spacing w:line="288" w:lineRule="auto"/>
        <w:rPr>
          <w:rFonts w:ascii="Century Gothic" w:eastAsia="Century Gothic" w:hAnsi="Century Gothic" w:cs="Century Gothic"/>
          <w:sz w:val="20"/>
          <w:szCs w:val="20"/>
        </w:rPr>
      </w:pPr>
    </w:p>
    <w:p w14:paraId="03F53E69" w14:textId="77777777" w:rsidR="004146B5" w:rsidRDefault="00000000">
      <w:pPr>
        <w:pStyle w:val="Text"/>
        <w:spacing w:line="288" w:lineRule="auto"/>
        <w:rPr>
          <w:rFonts w:ascii="Century Gothic" w:eastAsia="Century Gothic" w:hAnsi="Century Gothic" w:cs="Century Gothic"/>
          <w:i/>
          <w:iCs/>
          <w:sz w:val="20"/>
          <w:szCs w:val="20"/>
        </w:rPr>
      </w:pPr>
      <w:r>
        <w:rPr>
          <w:rFonts w:ascii="Century Gothic" w:hAnsi="Century Gothic"/>
          <w:i/>
          <w:iCs/>
          <w:sz w:val="20"/>
          <w:szCs w:val="20"/>
        </w:rPr>
        <w:t xml:space="preserve">Am 9. Mai 2023 einigte sich der Vermittlungsausschuss von Bundestag und Bundesrat auf </w:t>
      </w:r>
      <w:r>
        <w:rPr>
          <w:rFonts w:ascii="Century Gothic" w:hAnsi="Century Gothic"/>
          <w:i/>
          <w:iCs/>
          <w:sz w:val="20"/>
          <w:szCs w:val="20"/>
          <w:lang w:val="sv-SE"/>
        </w:rPr>
        <w:t>Ä</w:t>
      </w:r>
      <w:proofErr w:type="spellStart"/>
      <w:r>
        <w:rPr>
          <w:rFonts w:ascii="Century Gothic" w:hAnsi="Century Gothic"/>
          <w:i/>
          <w:iCs/>
          <w:sz w:val="20"/>
          <w:szCs w:val="20"/>
        </w:rPr>
        <w:t>nderungen</w:t>
      </w:r>
      <w:proofErr w:type="spellEnd"/>
      <w:r>
        <w:rPr>
          <w:rFonts w:ascii="Century Gothic" w:hAnsi="Century Gothic"/>
          <w:i/>
          <w:iCs/>
          <w:sz w:val="20"/>
          <w:szCs w:val="20"/>
        </w:rPr>
        <w:t xml:space="preserve"> im Hinweisgeberschutzgesetz. Der Bundestag hat das Gesetz daraufhin am 11. Mai 2023 verabschiedet, der Bundesrat hat den </w:t>
      </w:r>
      <w:r>
        <w:rPr>
          <w:rFonts w:ascii="Century Gothic" w:hAnsi="Century Gothic"/>
          <w:i/>
          <w:iCs/>
          <w:sz w:val="20"/>
          <w:szCs w:val="20"/>
          <w:lang w:val="sv-SE"/>
        </w:rPr>
        <w:t>Ä</w:t>
      </w:r>
      <w:proofErr w:type="spellStart"/>
      <w:r>
        <w:rPr>
          <w:rFonts w:ascii="Century Gothic" w:hAnsi="Century Gothic"/>
          <w:i/>
          <w:iCs/>
          <w:sz w:val="20"/>
          <w:szCs w:val="20"/>
        </w:rPr>
        <w:t>nderungen</w:t>
      </w:r>
      <w:proofErr w:type="spellEnd"/>
      <w:r>
        <w:rPr>
          <w:rFonts w:ascii="Century Gothic" w:hAnsi="Century Gothic"/>
          <w:i/>
          <w:iCs/>
          <w:sz w:val="20"/>
          <w:szCs w:val="20"/>
        </w:rPr>
        <w:t xml:space="preserve"> am 12. Mai 2023 zugestimmt.</w:t>
      </w:r>
    </w:p>
    <w:p w14:paraId="72680521" w14:textId="77777777" w:rsidR="004146B5" w:rsidRDefault="004146B5">
      <w:pPr>
        <w:pStyle w:val="Text"/>
        <w:spacing w:line="288" w:lineRule="auto"/>
        <w:rPr>
          <w:rFonts w:ascii="Century Gothic" w:eastAsia="Century Gothic" w:hAnsi="Century Gothic" w:cs="Century Gothic"/>
          <w:b/>
          <w:bCs/>
          <w:sz w:val="20"/>
          <w:szCs w:val="20"/>
        </w:rPr>
      </w:pPr>
    </w:p>
    <w:p w14:paraId="1B99ABAA" w14:textId="77777777" w:rsidR="004146B5" w:rsidRDefault="004146B5">
      <w:pPr>
        <w:pStyle w:val="Text"/>
        <w:spacing w:line="288" w:lineRule="auto"/>
        <w:rPr>
          <w:rFonts w:ascii="Century Gothic" w:eastAsia="Century Gothic" w:hAnsi="Century Gothic" w:cs="Century Gothic"/>
          <w:b/>
          <w:bCs/>
          <w:sz w:val="20"/>
          <w:szCs w:val="20"/>
        </w:rPr>
      </w:pPr>
    </w:p>
    <w:p w14:paraId="715B6927" w14:textId="77777777" w:rsidR="004146B5" w:rsidRDefault="004146B5">
      <w:pPr>
        <w:pStyle w:val="Text"/>
        <w:spacing w:line="288" w:lineRule="auto"/>
        <w:rPr>
          <w:rFonts w:ascii="Century Gothic" w:eastAsia="Century Gothic" w:hAnsi="Century Gothic" w:cs="Century Gothic"/>
          <w:b/>
          <w:bCs/>
          <w:sz w:val="20"/>
          <w:szCs w:val="20"/>
        </w:rPr>
      </w:pPr>
    </w:p>
    <w:p w14:paraId="5ADDF98C" w14:textId="77777777" w:rsidR="004146B5" w:rsidRDefault="00000000">
      <w:pPr>
        <w:pStyle w:val="Text"/>
        <w:spacing w:line="288" w:lineRule="auto"/>
        <w:rPr>
          <w:rFonts w:ascii="Century Gothic" w:eastAsia="Century Gothic" w:hAnsi="Century Gothic" w:cs="Century Gothic"/>
          <w:b/>
          <w:bCs/>
          <w:sz w:val="20"/>
          <w:szCs w:val="20"/>
        </w:rPr>
      </w:pPr>
      <w:r>
        <w:rPr>
          <w:rFonts w:ascii="Century Gothic" w:hAnsi="Century Gothic"/>
          <w:b/>
          <w:bCs/>
          <w:sz w:val="26"/>
          <w:szCs w:val="26"/>
        </w:rPr>
        <w:t>Umsetzung des Hinweisgeberschutzgesetzes</w:t>
      </w:r>
      <w:r>
        <w:rPr>
          <w:rFonts w:ascii="Century Gothic" w:eastAsia="Century Gothic" w:hAnsi="Century Gothic" w:cs="Century Gothic"/>
          <w:b/>
          <w:bCs/>
          <w:sz w:val="20"/>
          <w:szCs w:val="20"/>
        </w:rPr>
        <w:br/>
      </w:r>
    </w:p>
    <w:p w14:paraId="10BB5DC8"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Für Unternehmen ab 250 Mitarbeitern besteht seit dem 02.07.2023 eine Verpflichtung zur Einführung eines Hinweisgebersystems.</w:t>
      </w:r>
    </w:p>
    <w:p w14:paraId="7F098709"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Unternehmen mit 50 bis 249 Mitarbeitern müssen ihren Mitarbeitern ebenfalls einen Meldekanal zur Verfügung stellen. Sie haben dazu bis zum 17.12.2023 Zeit.</w:t>
      </w:r>
    </w:p>
    <w:p w14:paraId="2B8E6C1E"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 xml:space="preserve">Über die Meldesysteme müssen sowohl schriftliche und mündliche als auch die </w:t>
      </w:r>
      <w:proofErr w:type="spellStart"/>
      <w:r>
        <w:rPr>
          <w:rFonts w:ascii="Century Gothic" w:hAnsi="Century Gothic"/>
          <w:sz w:val="20"/>
          <w:szCs w:val="20"/>
          <w:lang w:val="it-IT"/>
        </w:rPr>
        <w:t>pers</w:t>
      </w:r>
      <w:proofErr w:type="spellEnd"/>
      <w:r>
        <w:rPr>
          <w:rFonts w:ascii="Century Gothic" w:hAnsi="Century Gothic"/>
          <w:sz w:val="20"/>
          <w:szCs w:val="20"/>
          <w:lang w:val="sv-SE"/>
        </w:rPr>
        <w:t>ö</w:t>
      </w:r>
      <w:proofErr w:type="spellStart"/>
      <w:r>
        <w:rPr>
          <w:rFonts w:ascii="Century Gothic" w:hAnsi="Century Gothic"/>
          <w:sz w:val="20"/>
          <w:szCs w:val="20"/>
        </w:rPr>
        <w:t>nliche</w:t>
      </w:r>
      <w:proofErr w:type="spellEnd"/>
      <w:r>
        <w:rPr>
          <w:rFonts w:ascii="Century Gothic" w:hAnsi="Century Gothic"/>
          <w:sz w:val="20"/>
          <w:szCs w:val="20"/>
        </w:rPr>
        <w:t xml:space="preserve"> Meldung von Vorfällen und Missständen möglich sein.</w:t>
      </w:r>
    </w:p>
    <w:p w14:paraId="11D67A84"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Hinweise müssen innerhalb von 7 Tagen von der internen Meldestelle bearbeitet bzw. bestätigt werden. Spätestens 3 Monate nach Meldung müssen Hinweisgeber über die ergriffenen Maßnahmen informiert werden.</w:t>
      </w:r>
    </w:p>
    <w:p w14:paraId="6C26D598"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Das Hinweisgebersystem muss DSGVO-konform sein und die Identität des Hinweisgebers schützen. Das Angebot einer anonymisierten Abgabe von Meldungen wird ausdrücklich empfohlen, ist aber nicht verpflichtend.</w:t>
      </w:r>
    </w:p>
    <w:p w14:paraId="28DD188A"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 xml:space="preserve">Bei </w:t>
      </w:r>
      <w:proofErr w:type="spellStart"/>
      <w:r>
        <w:rPr>
          <w:rFonts w:ascii="Century Gothic" w:hAnsi="Century Gothic"/>
          <w:sz w:val="20"/>
          <w:szCs w:val="20"/>
        </w:rPr>
        <w:t>Gesetzesverstöß</w:t>
      </w:r>
      <w:proofErr w:type="spellEnd"/>
      <w:r>
        <w:rPr>
          <w:rFonts w:ascii="Century Gothic" w:hAnsi="Century Gothic"/>
          <w:sz w:val="20"/>
          <w:szCs w:val="20"/>
          <w:lang w:val="nl-NL"/>
        </w:rPr>
        <w:t>en m</w:t>
      </w:r>
      <w:proofErr w:type="spellStart"/>
      <w:r>
        <w:rPr>
          <w:rFonts w:ascii="Century Gothic" w:hAnsi="Century Gothic"/>
          <w:sz w:val="20"/>
          <w:szCs w:val="20"/>
        </w:rPr>
        <w:t>üssen</w:t>
      </w:r>
      <w:proofErr w:type="spellEnd"/>
      <w:r>
        <w:rPr>
          <w:rFonts w:ascii="Century Gothic" w:hAnsi="Century Gothic"/>
          <w:sz w:val="20"/>
          <w:szCs w:val="20"/>
        </w:rPr>
        <w:t xml:space="preserve"> Unternehmen mit Bußgeldern von bis zu 50.000 </w:t>
      </w:r>
      <w:r>
        <w:rPr>
          <w:rFonts w:ascii="Century Gothic" w:hAnsi="Century Gothic"/>
          <w:sz w:val="20"/>
          <w:szCs w:val="20"/>
          <w:lang w:val="pt-PT"/>
        </w:rPr>
        <w:t xml:space="preserve">€ </w:t>
      </w:r>
      <w:r>
        <w:rPr>
          <w:rFonts w:ascii="Century Gothic" w:hAnsi="Century Gothic"/>
          <w:sz w:val="20"/>
          <w:szCs w:val="20"/>
        </w:rPr>
        <w:t>rechnen.</w:t>
      </w:r>
    </w:p>
    <w:p w14:paraId="45032466" w14:textId="77777777" w:rsidR="004146B5" w:rsidRDefault="004146B5">
      <w:pPr>
        <w:pStyle w:val="Text"/>
        <w:spacing w:line="288" w:lineRule="auto"/>
        <w:rPr>
          <w:rFonts w:ascii="Century Gothic" w:eastAsia="Century Gothic" w:hAnsi="Century Gothic" w:cs="Century Gothic"/>
          <w:b/>
          <w:bCs/>
          <w:sz w:val="20"/>
          <w:szCs w:val="20"/>
        </w:rPr>
      </w:pPr>
    </w:p>
    <w:p w14:paraId="249834B9" w14:textId="77777777" w:rsidR="004146B5" w:rsidRDefault="004146B5">
      <w:pPr>
        <w:pStyle w:val="Text"/>
        <w:spacing w:line="288" w:lineRule="auto"/>
        <w:rPr>
          <w:rFonts w:ascii="Century Gothic" w:eastAsia="Century Gothic" w:hAnsi="Century Gothic" w:cs="Century Gothic"/>
          <w:b/>
          <w:bCs/>
          <w:sz w:val="20"/>
          <w:szCs w:val="20"/>
        </w:rPr>
      </w:pPr>
    </w:p>
    <w:p w14:paraId="7E2B649C" w14:textId="77777777" w:rsidR="004146B5" w:rsidRDefault="00000000">
      <w:pPr>
        <w:pStyle w:val="Text"/>
        <w:spacing w:line="288" w:lineRule="auto"/>
        <w:rPr>
          <w:rFonts w:ascii="Century Gothic" w:eastAsia="Century Gothic" w:hAnsi="Century Gothic" w:cs="Century Gothic"/>
          <w:b/>
          <w:bCs/>
          <w:sz w:val="26"/>
          <w:szCs w:val="26"/>
        </w:rPr>
      </w:pPr>
      <w:r>
        <w:rPr>
          <w:rFonts w:ascii="Century Gothic" w:hAnsi="Century Gothic"/>
          <w:b/>
          <w:bCs/>
          <w:sz w:val="26"/>
          <w:szCs w:val="26"/>
        </w:rPr>
        <w:t>Was ist für private Unternehmen zu tun?</w:t>
      </w:r>
    </w:p>
    <w:p w14:paraId="61BFB8D8" w14:textId="77777777" w:rsidR="004146B5" w:rsidRDefault="004146B5">
      <w:pPr>
        <w:pStyle w:val="Text"/>
        <w:spacing w:line="288" w:lineRule="auto"/>
        <w:rPr>
          <w:rFonts w:ascii="Century Gothic" w:eastAsia="Century Gothic" w:hAnsi="Century Gothic" w:cs="Century Gothic"/>
          <w:sz w:val="20"/>
          <w:szCs w:val="20"/>
        </w:rPr>
      </w:pPr>
    </w:p>
    <w:p w14:paraId="13232032"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Die Beschäftigten müssen in einfacher Sprache über die M</w:t>
      </w:r>
      <w:r>
        <w:rPr>
          <w:rFonts w:ascii="Century Gothic" w:hAnsi="Century Gothic"/>
          <w:sz w:val="20"/>
          <w:szCs w:val="20"/>
          <w:lang w:val="sv-SE"/>
        </w:rPr>
        <w:t>ö</w:t>
      </w:r>
      <w:proofErr w:type="spellStart"/>
      <w:r>
        <w:rPr>
          <w:rFonts w:ascii="Century Gothic" w:hAnsi="Century Gothic"/>
          <w:sz w:val="20"/>
          <w:szCs w:val="20"/>
        </w:rPr>
        <w:t>glichkeiten</w:t>
      </w:r>
      <w:proofErr w:type="spellEnd"/>
      <w:r>
        <w:rPr>
          <w:rFonts w:ascii="Century Gothic" w:hAnsi="Century Gothic"/>
          <w:sz w:val="20"/>
          <w:szCs w:val="20"/>
        </w:rPr>
        <w:t xml:space="preserve"> der Nutzung eines internen und externen Meldekanals informiert werden.</w:t>
      </w:r>
    </w:p>
    <w:p w14:paraId="4596DCF4"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 xml:space="preserve">Die Meldungen </w:t>
      </w:r>
      <w:proofErr w:type="spellStart"/>
      <w:r>
        <w:rPr>
          <w:rFonts w:ascii="Century Gothic" w:hAnsi="Century Gothic"/>
          <w:sz w:val="20"/>
          <w:szCs w:val="20"/>
        </w:rPr>
        <w:t>mü</w:t>
      </w:r>
      <w:r>
        <w:rPr>
          <w:rFonts w:ascii="Century Gothic" w:hAnsi="Century Gothic"/>
          <w:sz w:val="20"/>
          <w:szCs w:val="20"/>
          <w:lang w:val="nl-NL"/>
        </w:rPr>
        <w:t>ssen</w:t>
      </w:r>
      <w:proofErr w:type="spellEnd"/>
      <w:r>
        <w:rPr>
          <w:rFonts w:ascii="Century Gothic" w:hAnsi="Century Gothic"/>
          <w:sz w:val="20"/>
          <w:szCs w:val="20"/>
          <w:lang w:val="nl-NL"/>
        </w:rPr>
        <w:t xml:space="preserve"> in m</w:t>
      </w:r>
      <w:proofErr w:type="spellStart"/>
      <w:r>
        <w:rPr>
          <w:rFonts w:ascii="Century Gothic" w:hAnsi="Century Gothic"/>
          <w:sz w:val="20"/>
          <w:szCs w:val="20"/>
        </w:rPr>
        <w:t>ündlicher</w:t>
      </w:r>
      <w:proofErr w:type="spellEnd"/>
      <w:r>
        <w:rPr>
          <w:rFonts w:ascii="Century Gothic" w:hAnsi="Century Gothic"/>
          <w:sz w:val="20"/>
          <w:szCs w:val="20"/>
        </w:rPr>
        <w:t xml:space="preserve"> Form, z.B. telefonisch, oder in Textform </w:t>
      </w:r>
      <w:proofErr w:type="spellStart"/>
      <w:r>
        <w:rPr>
          <w:rFonts w:ascii="Century Gothic" w:hAnsi="Century Gothic"/>
          <w:sz w:val="20"/>
          <w:szCs w:val="20"/>
        </w:rPr>
        <w:t>erm</w:t>
      </w:r>
      <w:proofErr w:type="spellEnd"/>
      <w:r>
        <w:rPr>
          <w:rFonts w:ascii="Century Gothic" w:hAnsi="Century Gothic"/>
          <w:sz w:val="20"/>
          <w:szCs w:val="20"/>
          <w:lang w:val="sv-SE"/>
        </w:rPr>
        <w:t>ö</w:t>
      </w:r>
      <w:r>
        <w:rPr>
          <w:rFonts w:ascii="Century Gothic" w:hAnsi="Century Gothic"/>
          <w:sz w:val="20"/>
          <w:szCs w:val="20"/>
        </w:rPr>
        <w:t xml:space="preserve">glicht werden. Auf Bitte der hinweisgebenden Person muss auch eine </w:t>
      </w:r>
      <w:proofErr w:type="spellStart"/>
      <w:r>
        <w:rPr>
          <w:rFonts w:ascii="Century Gothic" w:hAnsi="Century Gothic"/>
          <w:sz w:val="20"/>
          <w:szCs w:val="20"/>
        </w:rPr>
        <w:t>pers</w:t>
      </w:r>
      <w:proofErr w:type="spellEnd"/>
      <w:r>
        <w:rPr>
          <w:rFonts w:ascii="Century Gothic" w:hAnsi="Century Gothic"/>
          <w:sz w:val="20"/>
          <w:szCs w:val="20"/>
          <w:lang w:val="sv-SE"/>
        </w:rPr>
        <w:t>ö</w:t>
      </w:r>
      <w:proofErr w:type="spellStart"/>
      <w:r>
        <w:rPr>
          <w:rFonts w:ascii="Century Gothic" w:hAnsi="Century Gothic"/>
          <w:sz w:val="20"/>
          <w:szCs w:val="20"/>
        </w:rPr>
        <w:t>nliche</w:t>
      </w:r>
      <w:proofErr w:type="spellEnd"/>
      <w:r>
        <w:rPr>
          <w:rFonts w:ascii="Century Gothic" w:hAnsi="Century Gothic"/>
          <w:sz w:val="20"/>
          <w:szCs w:val="20"/>
        </w:rPr>
        <w:t xml:space="preserve"> Meldung oder eine Videokonferenz m</w:t>
      </w:r>
      <w:r>
        <w:rPr>
          <w:rFonts w:ascii="Century Gothic" w:hAnsi="Century Gothic"/>
          <w:sz w:val="20"/>
          <w:szCs w:val="20"/>
          <w:lang w:val="sv-SE"/>
        </w:rPr>
        <w:t>ö</w:t>
      </w:r>
      <w:r>
        <w:rPr>
          <w:rFonts w:ascii="Century Gothic" w:hAnsi="Century Gothic"/>
          <w:sz w:val="20"/>
          <w:szCs w:val="20"/>
        </w:rPr>
        <w:t>glich sein.</w:t>
      </w:r>
    </w:p>
    <w:p w14:paraId="47A75EB9"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Es muss keine anonyme Meldung m</w:t>
      </w:r>
      <w:r>
        <w:rPr>
          <w:rFonts w:ascii="Century Gothic" w:hAnsi="Century Gothic"/>
          <w:sz w:val="20"/>
          <w:szCs w:val="20"/>
          <w:lang w:val="sv-SE"/>
        </w:rPr>
        <w:t>ö</w:t>
      </w:r>
      <w:r>
        <w:rPr>
          <w:rFonts w:ascii="Century Gothic" w:hAnsi="Century Gothic"/>
          <w:sz w:val="20"/>
          <w:szCs w:val="20"/>
        </w:rPr>
        <w:t>glich sein.</w:t>
      </w:r>
    </w:p>
    <w:p w14:paraId="7AE9B020"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 xml:space="preserve">Sodann muss ein gesetzlicher Pflichtenkatalog von der Meldestelle abgearbeitet werden: </w:t>
      </w:r>
    </w:p>
    <w:p w14:paraId="7216C26B"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lastRenderedPageBreak/>
        <w:t>Eingangsbestätigung an den Hinweisgebenden innerhalb einer Frist, Aufklärung des Sachverhaltes, Ergreifung von Folgemaßnahmen und Dokumentationspflichten.</w:t>
      </w:r>
    </w:p>
    <w:p w14:paraId="6E2D7A61" w14:textId="77777777" w:rsidR="004146B5" w:rsidRDefault="00000000">
      <w:pPr>
        <w:pStyle w:val="Text"/>
        <w:numPr>
          <w:ilvl w:val="0"/>
          <w:numId w:val="2"/>
        </w:numPr>
        <w:spacing w:line="288" w:lineRule="auto"/>
        <w:rPr>
          <w:rFonts w:ascii="Century Gothic" w:hAnsi="Century Gothic"/>
          <w:sz w:val="20"/>
          <w:szCs w:val="20"/>
        </w:rPr>
      </w:pPr>
      <w:r>
        <w:rPr>
          <w:rFonts w:ascii="Century Gothic" w:hAnsi="Century Gothic"/>
          <w:sz w:val="20"/>
          <w:szCs w:val="20"/>
        </w:rPr>
        <w:t>Die interne Meldestelle muss umfassende Befugnisse haben, um Meldungen zu prüfen und Folgemaßnahmen zu ergreifen.</w:t>
      </w:r>
    </w:p>
    <w:p w14:paraId="61BCD0A6" w14:textId="77777777" w:rsidR="004146B5" w:rsidRDefault="004146B5">
      <w:pPr>
        <w:pStyle w:val="Text"/>
        <w:spacing w:line="288" w:lineRule="auto"/>
        <w:rPr>
          <w:rFonts w:ascii="Century Gothic" w:eastAsia="Century Gothic" w:hAnsi="Century Gothic" w:cs="Century Gothic"/>
          <w:sz w:val="20"/>
          <w:szCs w:val="20"/>
        </w:rPr>
      </w:pPr>
    </w:p>
    <w:p w14:paraId="239D626C" w14:textId="77777777" w:rsidR="004146B5" w:rsidRDefault="004146B5">
      <w:pPr>
        <w:pStyle w:val="Text"/>
        <w:spacing w:line="288" w:lineRule="auto"/>
        <w:rPr>
          <w:rFonts w:ascii="Century Gothic" w:eastAsia="Century Gothic" w:hAnsi="Century Gothic" w:cs="Century Gothic"/>
          <w:b/>
          <w:bCs/>
          <w:sz w:val="26"/>
          <w:szCs w:val="26"/>
        </w:rPr>
      </w:pPr>
    </w:p>
    <w:p w14:paraId="67D59536" w14:textId="77777777" w:rsidR="004146B5" w:rsidRDefault="00000000">
      <w:pPr>
        <w:pStyle w:val="Text"/>
        <w:spacing w:line="288" w:lineRule="auto"/>
        <w:rPr>
          <w:rFonts w:ascii="Century Gothic" w:eastAsia="Century Gothic" w:hAnsi="Century Gothic" w:cs="Century Gothic"/>
          <w:b/>
          <w:bCs/>
          <w:sz w:val="26"/>
          <w:szCs w:val="26"/>
        </w:rPr>
      </w:pPr>
      <w:r>
        <w:rPr>
          <w:rFonts w:ascii="Century Gothic" w:hAnsi="Century Gothic"/>
          <w:b/>
          <w:bCs/>
          <w:sz w:val="26"/>
          <w:szCs w:val="26"/>
        </w:rPr>
        <w:t>Bußgelder vermeiden</w:t>
      </w:r>
    </w:p>
    <w:p w14:paraId="07CA1981"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Unternehmen, die nicht fristgerecht eine geeignete Meldestelle einrichten, müssen mit einem Bußgeld von bis zu 20.000 Euro rechnen.</w:t>
      </w:r>
    </w:p>
    <w:p w14:paraId="6F411804"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Aber auch Hinweisgeber, die wissentlich unrichtige Meldungen abgeben, k</w:t>
      </w:r>
      <w:r>
        <w:rPr>
          <w:rFonts w:ascii="Century Gothic" w:hAnsi="Century Gothic"/>
          <w:sz w:val="20"/>
          <w:szCs w:val="20"/>
          <w:lang w:val="sv-SE"/>
        </w:rPr>
        <w:t>ö</w:t>
      </w:r>
      <w:proofErr w:type="spellStart"/>
      <w:r>
        <w:rPr>
          <w:rFonts w:ascii="Century Gothic" w:hAnsi="Century Gothic"/>
          <w:sz w:val="20"/>
          <w:szCs w:val="20"/>
        </w:rPr>
        <w:t>nnen</w:t>
      </w:r>
      <w:proofErr w:type="spellEnd"/>
      <w:r>
        <w:rPr>
          <w:rFonts w:ascii="Century Gothic" w:hAnsi="Century Gothic"/>
          <w:sz w:val="20"/>
          <w:szCs w:val="20"/>
        </w:rPr>
        <w:t xml:space="preserve"> mit einem Bußgeld in dieser H</w:t>
      </w:r>
      <w:r>
        <w:rPr>
          <w:rFonts w:ascii="Century Gothic" w:hAnsi="Century Gothic"/>
          <w:sz w:val="20"/>
          <w:szCs w:val="20"/>
          <w:lang w:val="sv-SE"/>
        </w:rPr>
        <w:t>ö</w:t>
      </w:r>
      <w:r>
        <w:rPr>
          <w:rFonts w:ascii="Century Gothic" w:hAnsi="Century Gothic"/>
          <w:sz w:val="20"/>
          <w:szCs w:val="20"/>
        </w:rPr>
        <w:t>he belangt werden. Das neue Gesetz schützt also nicht nur Hinweisgeber, sondern auch die Unternehmen.</w:t>
      </w:r>
    </w:p>
    <w:p w14:paraId="2F434D76"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 xml:space="preserve">Wichtig: Sofern ein Unternehmen auch nur versucht, Mitarbeiter an einer Meldung zu hindern, oder die eingehende Meldung nicht vertraulich behandelt, so kann es mit einem </w:t>
      </w:r>
      <w:proofErr w:type="spellStart"/>
      <w:r>
        <w:rPr>
          <w:rFonts w:ascii="Century Gothic" w:hAnsi="Century Gothic"/>
          <w:sz w:val="20"/>
          <w:szCs w:val="20"/>
        </w:rPr>
        <w:t>Buß</w:t>
      </w:r>
      <w:proofErr w:type="spellEnd"/>
      <w:r>
        <w:rPr>
          <w:rFonts w:ascii="Century Gothic" w:hAnsi="Century Gothic"/>
          <w:sz w:val="20"/>
          <w:szCs w:val="20"/>
          <w:lang w:val="nl-NL"/>
        </w:rPr>
        <w:t>geld in H</w:t>
      </w:r>
      <w:r>
        <w:rPr>
          <w:rFonts w:ascii="Century Gothic" w:hAnsi="Century Gothic"/>
          <w:sz w:val="20"/>
          <w:szCs w:val="20"/>
          <w:lang w:val="sv-SE"/>
        </w:rPr>
        <w:t>ö</w:t>
      </w:r>
      <w:r>
        <w:rPr>
          <w:rFonts w:ascii="Century Gothic" w:hAnsi="Century Gothic"/>
          <w:sz w:val="20"/>
          <w:szCs w:val="20"/>
        </w:rPr>
        <w:t>he von bis zu 50.000 Euro belegt werden.</w:t>
      </w:r>
    </w:p>
    <w:p w14:paraId="43FF7305" w14:textId="77777777" w:rsidR="004146B5" w:rsidRDefault="004146B5">
      <w:pPr>
        <w:pStyle w:val="Text"/>
        <w:spacing w:line="288" w:lineRule="auto"/>
        <w:rPr>
          <w:rFonts w:ascii="Century Gothic" w:eastAsia="Century Gothic" w:hAnsi="Century Gothic" w:cs="Century Gothic"/>
          <w:sz w:val="20"/>
          <w:szCs w:val="20"/>
        </w:rPr>
      </w:pPr>
    </w:p>
    <w:p w14:paraId="39EC67C6" w14:textId="77777777" w:rsidR="004146B5" w:rsidRDefault="00000000">
      <w:pPr>
        <w:pStyle w:val="Text"/>
        <w:spacing w:line="288" w:lineRule="auto"/>
        <w:rPr>
          <w:rFonts w:ascii="Century Gothic" w:eastAsia="Century Gothic" w:hAnsi="Century Gothic" w:cs="Century Gothic"/>
          <w:sz w:val="20"/>
          <w:szCs w:val="20"/>
        </w:rPr>
      </w:pPr>
      <w:r>
        <w:rPr>
          <w:rFonts w:ascii="Century Gothic" w:hAnsi="Century Gothic"/>
          <w:sz w:val="20"/>
          <w:szCs w:val="20"/>
        </w:rPr>
        <w:t>____________________________________________________________</w:t>
      </w:r>
    </w:p>
    <w:p w14:paraId="3D55F26B" w14:textId="77777777" w:rsidR="004146B5" w:rsidRDefault="004146B5">
      <w:pPr>
        <w:pStyle w:val="Text"/>
        <w:spacing w:line="288" w:lineRule="auto"/>
        <w:rPr>
          <w:rFonts w:ascii="Century Gothic" w:eastAsia="Century Gothic" w:hAnsi="Century Gothic" w:cs="Century Gothic"/>
          <w:sz w:val="20"/>
          <w:szCs w:val="20"/>
        </w:rPr>
      </w:pPr>
    </w:p>
    <w:p w14:paraId="2541C465" w14:textId="77777777" w:rsidR="004146B5" w:rsidRDefault="00000000">
      <w:pPr>
        <w:pStyle w:val="Text"/>
        <w:spacing w:line="288" w:lineRule="auto"/>
        <w:rPr>
          <w:rFonts w:ascii="Century Gothic" w:eastAsia="Century Gothic" w:hAnsi="Century Gothic" w:cs="Century Gothic"/>
          <w:b/>
          <w:bCs/>
          <w:color w:val="5E5E5E"/>
          <w:sz w:val="26"/>
          <w:szCs w:val="26"/>
        </w:rPr>
      </w:pPr>
      <w:r>
        <w:rPr>
          <w:rFonts w:ascii="Century Gothic" w:hAnsi="Century Gothic"/>
          <w:b/>
          <w:bCs/>
          <w:color w:val="5E5E5E"/>
          <w:sz w:val="26"/>
          <w:szCs w:val="26"/>
        </w:rPr>
        <w:t>Wie funktioniert ein Hinweisgeberschutzsystem?</w:t>
      </w:r>
    </w:p>
    <w:p w14:paraId="67182224" w14:textId="77777777" w:rsidR="004146B5" w:rsidRDefault="004146B5">
      <w:pPr>
        <w:pStyle w:val="Text"/>
        <w:spacing w:line="288" w:lineRule="auto"/>
        <w:rPr>
          <w:rFonts w:ascii="Century Gothic" w:eastAsia="Century Gothic" w:hAnsi="Century Gothic" w:cs="Century Gothic"/>
          <w:color w:val="5E5E5E"/>
          <w:sz w:val="20"/>
          <w:szCs w:val="20"/>
        </w:rPr>
      </w:pPr>
    </w:p>
    <w:p w14:paraId="23E2BBE9" w14:textId="77777777" w:rsidR="004146B5" w:rsidRDefault="00000000">
      <w:pPr>
        <w:pStyle w:val="Text"/>
        <w:spacing w:line="288" w:lineRule="auto"/>
        <w:rPr>
          <w:rFonts w:ascii="Century Gothic" w:eastAsia="Century Gothic" w:hAnsi="Century Gothic" w:cs="Century Gothic"/>
          <w:color w:val="5E5E5E"/>
          <w:sz w:val="20"/>
          <w:szCs w:val="20"/>
        </w:rPr>
      </w:pPr>
      <w:r>
        <w:rPr>
          <w:rFonts w:ascii="Century Gothic" w:hAnsi="Century Gothic"/>
          <w:color w:val="5E5E5E"/>
          <w:sz w:val="20"/>
          <w:szCs w:val="20"/>
        </w:rPr>
        <w:t xml:space="preserve">Ein Hinweisgeber soll schriftlich, mündlich oder </w:t>
      </w:r>
      <w:proofErr w:type="spellStart"/>
      <w:r>
        <w:rPr>
          <w:rFonts w:ascii="Century Gothic" w:hAnsi="Century Gothic"/>
          <w:color w:val="5E5E5E"/>
          <w:sz w:val="20"/>
          <w:szCs w:val="20"/>
        </w:rPr>
        <w:t>pers</w:t>
      </w:r>
      <w:proofErr w:type="spellEnd"/>
      <w:r>
        <w:rPr>
          <w:rFonts w:ascii="Century Gothic" w:hAnsi="Century Gothic"/>
          <w:color w:val="5E5E5E"/>
          <w:sz w:val="20"/>
          <w:szCs w:val="20"/>
          <w:lang w:val="sv-SE"/>
        </w:rPr>
        <w:t>ö</w:t>
      </w:r>
      <w:proofErr w:type="spellStart"/>
      <w:r>
        <w:rPr>
          <w:rFonts w:ascii="Century Gothic" w:hAnsi="Century Gothic"/>
          <w:color w:val="5E5E5E"/>
          <w:sz w:val="20"/>
          <w:szCs w:val="20"/>
        </w:rPr>
        <w:t>nlich</w:t>
      </w:r>
      <w:proofErr w:type="spellEnd"/>
      <w:r>
        <w:rPr>
          <w:rFonts w:ascii="Century Gothic" w:hAnsi="Century Gothic"/>
          <w:color w:val="5E5E5E"/>
          <w:sz w:val="20"/>
          <w:szCs w:val="20"/>
        </w:rPr>
        <w:t xml:space="preserve"> eine Meldung über einen Gesetzesverstoß abgeben k</w:t>
      </w:r>
      <w:r>
        <w:rPr>
          <w:rFonts w:ascii="Century Gothic" w:hAnsi="Century Gothic"/>
          <w:color w:val="5E5E5E"/>
          <w:sz w:val="20"/>
          <w:szCs w:val="20"/>
          <w:lang w:val="sv-SE"/>
        </w:rPr>
        <w:t>ö</w:t>
      </w:r>
      <w:proofErr w:type="spellStart"/>
      <w:r>
        <w:rPr>
          <w:rFonts w:ascii="Century Gothic" w:hAnsi="Century Gothic"/>
          <w:color w:val="5E5E5E"/>
          <w:sz w:val="20"/>
          <w:szCs w:val="20"/>
        </w:rPr>
        <w:t>nnen</w:t>
      </w:r>
      <w:proofErr w:type="spellEnd"/>
      <w:r>
        <w:rPr>
          <w:rFonts w:ascii="Century Gothic" w:hAnsi="Century Gothic"/>
          <w:color w:val="5E5E5E"/>
          <w:sz w:val="20"/>
          <w:szCs w:val="20"/>
        </w:rPr>
        <w:t>. Unternehmer müssen dann die Identität des Meldenden oder vertraulich behandeln und ihm bestätigen, dass der Hinweis angekommen ist. Sodann muss eine Bewertung der Meldung erfolgen. Bei Bedarf müssen geeignete Folgemaßnahmen zur weiteren Aufklärung der Meldung oder zur Abschaffung des gesetzeswidrigen Zustands ergriffen werden. An diese Vorgaben muss sich das Unternehmen halten, um ebenfalls, z.B. bei Falschmeldungen, vom Schutz des Gesetzes zu profitieren.</w:t>
      </w:r>
      <w:r>
        <w:rPr>
          <w:rFonts w:ascii="Century Gothic" w:eastAsia="Century Gothic" w:hAnsi="Century Gothic" w:cs="Century Gothic"/>
          <w:color w:val="5E5E5E"/>
          <w:sz w:val="20"/>
          <w:szCs w:val="20"/>
        </w:rPr>
        <w:br/>
      </w:r>
      <w:r>
        <w:rPr>
          <w:rFonts w:ascii="Century Gothic" w:hAnsi="Century Gothic"/>
          <w:color w:val="5E5E5E"/>
          <w:sz w:val="20"/>
          <w:szCs w:val="20"/>
        </w:rPr>
        <w:t>Die schriftliche Meldung kann z.B. komfortabel über ein webbasiertes Tool in Ihrem Intranet erfolgen. Auf Wunsch kann der Hinweis anonym abgegeben werden, auch wenn dies keine zwingende Vorgabe des Gesetzes mehr ist.</w:t>
      </w:r>
    </w:p>
    <w:p w14:paraId="4C4FA4A6" w14:textId="77777777" w:rsidR="004146B5" w:rsidRDefault="004146B5">
      <w:pPr>
        <w:pStyle w:val="Text"/>
        <w:spacing w:line="288" w:lineRule="auto"/>
        <w:rPr>
          <w:rFonts w:ascii="Century Gothic" w:eastAsia="Century Gothic" w:hAnsi="Century Gothic" w:cs="Century Gothic"/>
          <w:color w:val="5E5E5E"/>
          <w:sz w:val="20"/>
          <w:szCs w:val="20"/>
        </w:rPr>
      </w:pPr>
    </w:p>
    <w:p w14:paraId="266C4754" w14:textId="77777777" w:rsidR="004146B5" w:rsidRDefault="004146B5">
      <w:pPr>
        <w:pStyle w:val="Text"/>
        <w:spacing w:line="288" w:lineRule="auto"/>
        <w:rPr>
          <w:rFonts w:ascii="Century Gothic" w:eastAsia="Century Gothic" w:hAnsi="Century Gothic" w:cs="Century Gothic"/>
          <w:color w:val="5E5E5E"/>
          <w:sz w:val="26"/>
          <w:szCs w:val="26"/>
        </w:rPr>
      </w:pPr>
    </w:p>
    <w:p w14:paraId="22F91EE2" w14:textId="77777777" w:rsidR="004146B5" w:rsidRDefault="00000000">
      <w:pPr>
        <w:pStyle w:val="Text"/>
        <w:spacing w:line="288" w:lineRule="auto"/>
        <w:rPr>
          <w:rFonts w:ascii="Century Gothic" w:eastAsia="Century Gothic" w:hAnsi="Century Gothic" w:cs="Century Gothic"/>
          <w:b/>
          <w:bCs/>
          <w:color w:val="5E5E5E"/>
          <w:sz w:val="26"/>
          <w:szCs w:val="26"/>
        </w:rPr>
      </w:pPr>
      <w:r>
        <w:rPr>
          <w:rFonts w:ascii="Century Gothic" w:hAnsi="Century Gothic"/>
          <w:b/>
          <w:bCs/>
          <w:color w:val="5E5E5E"/>
          <w:sz w:val="26"/>
          <w:szCs w:val="26"/>
        </w:rPr>
        <w:t>Welche Vorteile habe ich durch die Einrichtung einer internen Hinweisgeberstelle?</w:t>
      </w:r>
    </w:p>
    <w:p w14:paraId="4A2294E0" w14:textId="77777777" w:rsidR="004146B5" w:rsidRDefault="004146B5">
      <w:pPr>
        <w:pStyle w:val="Text"/>
        <w:spacing w:line="288" w:lineRule="auto"/>
        <w:rPr>
          <w:rFonts w:ascii="Century Gothic" w:eastAsia="Century Gothic" w:hAnsi="Century Gothic" w:cs="Century Gothic"/>
          <w:color w:val="5E5E5E"/>
          <w:sz w:val="20"/>
          <w:szCs w:val="20"/>
        </w:rPr>
      </w:pPr>
    </w:p>
    <w:p w14:paraId="2BB627DF" w14:textId="77777777" w:rsidR="004146B5" w:rsidRDefault="00000000">
      <w:pPr>
        <w:pStyle w:val="Text"/>
        <w:spacing w:line="288" w:lineRule="auto"/>
        <w:rPr>
          <w:rFonts w:ascii="Century Gothic" w:eastAsia="Century Gothic" w:hAnsi="Century Gothic" w:cs="Century Gothic"/>
          <w:color w:val="5E5E5E"/>
          <w:sz w:val="20"/>
          <w:szCs w:val="20"/>
        </w:rPr>
      </w:pPr>
      <w:r>
        <w:rPr>
          <w:rFonts w:ascii="Century Gothic" w:hAnsi="Century Gothic"/>
          <w:color w:val="5E5E5E"/>
          <w:sz w:val="20"/>
          <w:szCs w:val="20"/>
        </w:rPr>
        <w:t xml:space="preserve">Sie bekommen dadurch zunächst die Chance, einem Hinweis zunächst intern nachzugehen und diesen aufzuklären, bevor sich z.B. die Staatsanwaltschaft im Rahmen eines Ermittlungsverfahrens damit beschäftigt. Damit kann Zeit zur Abgabe einer strafbefreienden Selbstanzeige gewonnen werden. Auch Durchsuchungen der </w:t>
      </w:r>
      <w:proofErr w:type="spellStart"/>
      <w:r>
        <w:rPr>
          <w:rFonts w:ascii="Century Gothic" w:hAnsi="Century Gothic"/>
          <w:color w:val="5E5E5E"/>
          <w:sz w:val="20"/>
          <w:szCs w:val="20"/>
        </w:rPr>
        <w:t>Ermittlungsbeh</w:t>
      </w:r>
      <w:proofErr w:type="spellEnd"/>
      <w:r>
        <w:rPr>
          <w:rFonts w:ascii="Century Gothic" w:hAnsi="Century Gothic"/>
          <w:color w:val="5E5E5E"/>
          <w:sz w:val="20"/>
          <w:szCs w:val="20"/>
          <w:lang w:val="sv-SE"/>
        </w:rPr>
        <w:t>ö</w:t>
      </w:r>
      <w:proofErr w:type="spellStart"/>
      <w:r>
        <w:rPr>
          <w:rFonts w:ascii="Century Gothic" w:hAnsi="Century Gothic"/>
          <w:color w:val="5E5E5E"/>
          <w:sz w:val="20"/>
          <w:szCs w:val="20"/>
        </w:rPr>
        <w:t>rden</w:t>
      </w:r>
      <w:proofErr w:type="spellEnd"/>
      <w:r>
        <w:rPr>
          <w:rFonts w:ascii="Century Gothic" w:hAnsi="Century Gothic"/>
          <w:color w:val="5E5E5E"/>
          <w:sz w:val="20"/>
          <w:szCs w:val="20"/>
        </w:rPr>
        <w:t xml:space="preserve"> vor Ort k</w:t>
      </w:r>
      <w:r>
        <w:rPr>
          <w:rFonts w:ascii="Century Gothic" w:hAnsi="Century Gothic"/>
          <w:color w:val="5E5E5E"/>
          <w:sz w:val="20"/>
          <w:szCs w:val="20"/>
          <w:lang w:val="sv-SE"/>
        </w:rPr>
        <w:t>ö</w:t>
      </w:r>
      <w:proofErr w:type="spellStart"/>
      <w:r>
        <w:rPr>
          <w:rFonts w:ascii="Century Gothic" w:hAnsi="Century Gothic"/>
          <w:color w:val="5E5E5E"/>
          <w:sz w:val="20"/>
          <w:szCs w:val="20"/>
        </w:rPr>
        <w:t>nnen</w:t>
      </w:r>
      <w:proofErr w:type="spellEnd"/>
      <w:r>
        <w:rPr>
          <w:rFonts w:ascii="Century Gothic" w:hAnsi="Century Gothic"/>
          <w:color w:val="5E5E5E"/>
          <w:sz w:val="20"/>
          <w:szCs w:val="20"/>
        </w:rPr>
        <w:t xml:space="preserve"> so unter Umständen verhindert werden.</w:t>
      </w:r>
      <w:r>
        <w:rPr>
          <w:rFonts w:ascii="Century Gothic" w:eastAsia="Century Gothic" w:hAnsi="Century Gothic" w:cs="Century Gothic"/>
          <w:color w:val="5E5E5E"/>
          <w:sz w:val="20"/>
          <w:szCs w:val="20"/>
        </w:rPr>
        <w:br/>
      </w:r>
      <w:r>
        <w:rPr>
          <w:rFonts w:ascii="Century Gothic" w:hAnsi="Century Gothic"/>
          <w:color w:val="5E5E5E"/>
          <w:sz w:val="20"/>
          <w:szCs w:val="20"/>
        </w:rPr>
        <w:t>Bei haltlosen Hinweisen k</w:t>
      </w:r>
      <w:r>
        <w:rPr>
          <w:rFonts w:ascii="Century Gothic" w:hAnsi="Century Gothic"/>
          <w:color w:val="5E5E5E"/>
          <w:sz w:val="20"/>
          <w:szCs w:val="20"/>
          <w:lang w:val="sv-SE"/>
        </w:rPr>
        <w:t>ö</w:t>
      </w:r>
      <w:proofErr w:type="spellStart"/>
      <w:r>
        <w:rPr>
          <w:rFonts w:ascii="Century Gothic" w:hAnsi="Century Gothic"/>
          <w:color w:val="5E5E5E"/>
          <w:sz w:val="20"/>
          <w:szCs w:val="20"/>
        </w:rPr>
        <w:t>nnen</w:t>
      </w:r>
      <w:proofErr w:type="spellEnd"/>
      <w:r>
        <w:rPr>
          <w:rFonts w:ascii="Century Gothic" w:hAnsi="Century Gothic"/>
          <w:color w:val="5E5E5E"/>
          <w:sz w:val="20"/>
          <w:szCs w:val="20"/>
        </w:rPr>
        <w:t xml:space="preserve"> schwere Imageschäden auf diese Weise vermieden werden.</w:t>
      </w:r>
      <w:r>
        <w:rPr>
          <w:rFonts w:ascii="Century Gothic" w:eastAsia="Century Gothic" w:hAnsi="Century Gothic" w:cs="Century Gothic"/>
          <w:color w:val="5E5E5E"/>
          <w:sz w:val="20"/>
          <w:szCs w:val="20"/>
        </w:rPr>
        <w:br/>
      </w:r>
      <w:r>
        <w:rPr>
          <w:rFonts w:ascii="Century Gothic" w:hAnsi="Century Gothic"/>
          <w:color w:val="5E5E5E"/>
          <w:sz w:val="20"/>
          <w:szCs w:val="20"/>
        </w:rPr>
        <w:t>Die Installation einer Software ist nicht n</w:t>
      </w:r>
      <w:r>
        <w:rPr>
          <w:rFonts w:ascii="Century Gothic" w:hAnsi="Century Gothic"/>
          <w:color w:val="5E5E5E"/>
          <w:sz w:val="20"/>
          <w:szCs w:val="20"/>
          <w:lang w:val="sv-SE"/>
        </w:rPr>
        <w:t>ö</w:t>
      </w:r>
      <w:proofErr w:type="spellStart"/>
      <w:r>
        <w:rPr>
          <w:rFonts w:ascii="Century Gothic" w:hAnsi="Century Gothic"/>
          <w:color w:val="5E5E5E"/>
          <w:sz w:val="20"/>
          <w:szCs w:val="20"/>
        </w:rPr>
        <w:t>tig</w:t>
      </w:r>
      <w:proofErr w:type="spellEnd"/>
      <w:r>
        <w:rPr>
          <w:rFonts w:ascii="Century Gothic" w:hAnsi="Century Gothic"/>
          <w:color w:val="5E5E5E"/>
          <w:sz w:val="20"/>
          <w:szCs w:val="20"/>
        </w:rPr>
        <w:t>, das System ist schnell und unkompliziert einsatzbereit.</w:t>
      </w:r>
    </w:p>
    <w:p w14:paraId="06246F55" w14:textId="77777777" w:rsidR="004146B5" w:rsidRDefault="004146B5">
      <w:pPr>
        <w:pStyle w:val="Text"/>
        <w:spacing w:line="288" w:lineRule="auto"/>
      </w:pPr>
    </w:p>
    <w:sectPr w:rsidR="004146B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87BA" w14:textId="77777777" w:rsidR="00BD53EC" w:rsidRDefault="00BD53EC">
      <w:r>
        <w:separator/>
      </w:r>
    </w:p>
  </w:endnote>
  <w:endnote w:type="continuationSeparator" w:id="0">
    <w:p w14:paraId="4C32F59A" w14:textId="77777777" w:rsidR="00BD53EC" w:rsidRDefault="00BD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58C" w14:textId="77777777" w:rsidR="004146B5" w:rsidRDefault="00414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566A" w14:textId="77777777" w:rsidR="00BD53EC" w:rsidRDefault="00BD53EC">
      <w:r>
        <w:separator/>
      </w:r>
    </w:p>
  </w:footnote>
  <w:footnote w:type="continuationSeparator" w:id="0">
    <w:p w14:paraId="15EDA3F7" w14:textId="77777777" w:rsidR="00BD53EC" w:rsidRDefault="00BD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1B00" w14:textId="77777777" w:rsidR="004146B5" w:rsidRDefault="004146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743B1"/>
    <w:multiLevelType w:val="hybridMultilevel"/>
    <w:tmpl w:val="3B3A870E"/>
    <w:styleLink w:val="Punkt"/>
    <w:lvl w:ilvl="0" w:tplc="89A89A9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6A4DC3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1A56DBD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66677F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582BD9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7C286F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536C4C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DDE556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1A4FB5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CAD4307"/>
    <w:multiLevelType w:val="hybridMultilevel"/>
    <w:tmpl w:val="3B3A870E"/>
    <w:numStyleLink w:val="Punkt"/>
  </w:abstractNum>
  <w:num w:numId="1" w16cid:durableId="547106876">
    <w:abstractNumId w:val="0"/>
  </w:num>
  <w:num w:numId="2" w16cid:durableId="2432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B5"/>
    <w:rsid w:val="000F71CA"/>
    <w:rsid w:val="002714D6"/>
    <w:rsid w:val="004146B5"/>
    <w:rsid w:val="00BD53E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0AE93514"/>
  <w15:docId w15:val="{66E25457-53B0-DC41-AF3A-3D86DD85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Amer Zaza</cp:lastModifiedBy>
  <cp:revision>2</cp:revision>
  <dcterms:created xsi:type="dcterms:W3CDTF">2023-07-26T12:39:00Z</dcterms:created>
  <dcterms:modified xsi:type="dcterms:W3CDTF">2023-07-26T13:49:00Z</dcterms:modified>
</cp:coreProperties>
</file>